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AFD1" w14:textId="77777777" w:rsidR="00284E55" w:rsidRDefault="00284E55">
      <w:pPr>
        <w:rPr>
          <w:rFonts w:hint="eastAsia"/>
        </w:rPr>
      </w:pPr>
    </w:p>
    <w:p w14:paraId="7D5CBB36" w14:textId="2F68A1FD" w:rsidR="00AE62B3" w:rsidRPr="004E11AF" w:rsidRDefault="00AE62B3" w:rsidP="004E11AF">
      <w:pPr>
        <w:jc w:val="center"/>
        <w:rPr>
          <w:rFonts w:hint="eastAsia"/>
          <w:b/>
          <w:bCs/>
          <w:sz w:val="28"/>
          <w:szCs w:val="28"/>
        </w:rPr>
      </w:pPr>
      <w:r w:rsidRPr="004E11AF">
        <w:rPr>
          <w:rFonts w:hint="eastAsia"/>
          <w:b/>
          <w:bCs/>
          <w:sz w:val="28"/>
          <w:szCs w:val="28"/>
        </w:rPr>
        <w:t>p-型有机半导体TQ1空穴传输特性随温度的变化关系分析 [18-105]。</w:t>
      </w:r>
    </w:p>
    <w:p w14:paraId="7BBBBC6E" w14:textId="77777777" w:rsidR="00AE62B3" w:rsidRDefault="00AE62B3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62B3" w14:paraId="2DF9844E" w14:textId="77777777">
        <w:tc>
          <w:tcPr>
            <w:tcW w:w="10456" w:type="dxa"/>
          </w:tcPr>
          <w:p w14:paraId="2EBED0BC" w14:textId="77777777" w:rsidR="00AE62B3" w:rsidRPr="00AE62B3" w:rsidRDefault="00AE62B3" w:rsidP="00AE62B3">
            <w:pPr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E62B3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63976607" wp14:editId="3C0F3B74">
                  <wp:extent cx="2405431" cy="1799695"/>
                  <wp:effectExtent l="0" t="0" r="0" b="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969" t="1460" r="8387" b="52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508" cy="181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5A7A43" w14:textId="77777777" w:rsidR="00AE62B3" w:rsidRPr="00AE62B3" w:rsidRDefault="00AE62B3" w:rsidP="00AE62B3">
            <w:pPr>
              <w:spacing w:line="360" w:lineRule="auto"/>
              <w:ind w:firstLineChars="200" w:firstLine="422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4F113E7F" w14:textId="77777777" w:rsidR="00AE62B3" w:rsidRPr="00AE62B3" w:rsidRDefault="00AE62B3" w:rsidP="00AE62B3">
            <w:pPr>
              <w:spacing w:line="360" w:lineRule="auto"/>
              <w:ind w:firstLineChars="200" w:firstLine="422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E62B3">
              <w:rPr>
                <w:rFonts w:ascii="Times New Roman" w:eastAsia="宋体" w:hAnsi="Times New Roman" w:cs="Times New Roman"/>
                <w:b/>
                <w:bCs/>
                <w:szCs w:val="21"/>
              </w:rPr>
              <w:t>图</w:t>
            </w:r>
            <w:r w:rsidRPr="00AE62B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AE62B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3-1 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原始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TQ1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纯空穴器件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(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黑色开放符号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)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的温度相关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SCLC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数据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  <w:fldChar w:fldCharType="begin"/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  <w:instrText xml:space="preserve"> REF _Ref7439 \r \h </w:instrTex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  <w:fldChar w:fldCharType="separate"/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  <w:t>[7]</w:t>
            </w:r>
            <w:r w:rsidRPr="00AE62B3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  <w:vertAlign w:val="superscript"/>
              </w:rPr>
              <w:fldChar w:fldCharType="end"/>
            </w:r>
          </w:p>
          <w:p w14:paraId="5BECFED8" w14:textId="77777777" w:rsidR="00AE62B3" w:rsidRPr="00AE62B3" w:rsidRDefault="00AE62B3">
            <w:pPr>
              <w:rPr>
                <w:rFonts w:hint="eastAsia"/>
              </w:rPr>
            </w:pPr>
          </w:p>
        </w:tc>
      </w:tr>
    </w:tbl>
    <w:p w14:paraId="585E30B2" w14:textId="77777777" w:rsidR="00AE62B3" w:rsidRDefault="00AE62B3">
      <w:pPr>
        <w:rPr>
          <w:rFonts w:hint="eastAsia"/>
        </w:rPr>
      </w:pPr>
    </w:p>
    <w:p w14:paraId="5DE5FE66" w14:textId="77777777" w:rsidR="00237203" w:rsidRDefault="00237203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237203" w14:paraId="096BFC3D" w14:textId="77777777" w:rsidTr="00D621AC">
        <w:trPr>
          <w:trHeight w:val="5217"/>
        </w:trPr>
        <w:tc>
          <w:tcPr>
            <w:tcW w:w="10348" w:type="dxa"/>
          </w:tcPr>
          <w:p w14:paraId="6B726CBF" w14:textId="77777777" w:rsidR="00237203" w:rsidRDefault="00237203">
            <w:pPr>
              <w:rPr>
                <w:rFonts w:hint="eastAsia"/>
              </w:rPr>
            </w:pPr>
            <w:r w:rsidRPr="00237203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114300" distR="114300" wp14:anchorId="299B75F2" wp14:editId="4C088161">
                  <wp:extent cx="5227320" cy="2549278"/>
                  <wp:effectExtent l="0" t="0" r="0" b="3810"/>
                  <wp:docPr id="3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5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3259" cy="255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A304F" w14:textId="722C9166" w:rsidR="00237203" w:rsidRPr="00D621AC" w:rsidRDefault="00237203" w:rsidP="00D621AC">
            <w:pPr>
              <w:keepNext/>
              <w:widowControl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图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3-2 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模型选择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Type of carrier motion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中的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Drift only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和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Mobility model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中的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constant mobility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。特性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u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  <w:vertAlign w:val="subscript"/>
              </w:rPr>
              <w:t>0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为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1×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10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  <w:vertAlign w:val="superscript"/>
              </w:rPr>
              <w:t>-6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cm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  <w:vertAlign w:val="superscript"/>
              </w:rPr>
              <w:t>2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v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  <w:vertAlign w:val="superscript"/>
              </w:rPr>
              <w:t>-1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s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  <w:vertAlign w:val="superscript"/>
              </w:rPr>
              <w:t>-1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；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U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bi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为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0.01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v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；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β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为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0.00043cmv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  <w:vertAlign w:val="superscript"/>
              </w:rPr>
              <w:t>-1</w:t>
            </w:r>
          </w:p>
        </w:tc>
      </w:tr>
    </w:tbl>
    <w:p w14:paraId="2C064E6A" w14:textId="77777777" w:rsidR="00237203" w:rsidRDefault="00237203">
      <w:pPr>
        <w:rPr>
          <w:rFonts w:hint="eastAsia"/>
        </w:rPr>
      </w:pPr>
    </w:p>
    <w:p w14:paraId="253AA518" w14:textId="77777777" w:rsidR="00237203" w:rsidRPr="00237203" w:rsidRDefault="00237203" w:rsidP="00237203">
      <w:pPr>
        <w:keepNext/>
        <w:widowControl/>
        <w:spacing w:line="360" w:lineRule="auto"/>
        <w:rPr>
          <w:rFonts w:ascii="Times New Roman" w:eastAsia="宋体" w:hAnsi="Times New Roman" w:cs="Times New Roman"/>
          <w:kern w:val="28"/>
          <w:sz w:val="24"/>
          <w:szCs w:val="24"/>
        </w:rPr>
      </w:pPr>
    </w:p>
    <w:p w14:paraId="55DC62E2" w14:textId="77777777" w:rsidR="00237203" w:rsidRPr="00237203" w:rsidRDefault="00237203" w:rsidP="00237203">
      <w:pPr>
        <w:keepNext/>
        <w:widowControl/>
        <w:spacing w:line="360" w:lineRule="auto"/>
        <w:rPr>
          <w:rFonts w:ascii="Times New Roman" w:eastAsia="黑体" w:hAnsi="Times New Roman" w:cs="Times New Roman"/>
          <w:b/>
          <w:bCs/>
          <w:kern w:val="28"/>
          <w:sz w:val="30"/>
          <w:szCs w:val="30"/>
        </w:rPr>
      </w:pPr>
      <w:r w:rsidRPr="00237203">
        <w:rPr>
          <w:rFonts w:ascii="Times New Roman" w:eastAsia="宋体" w:hAnsi="Times New Roman" w:cs="Times New Roman"/>
          <w:kern w:val="28"/>
          <w:sz w:val="24"/>
          <w:szCs w:val="24"/>
        </w:rPr>
        <w:t>将</w:t>
      </w:r>
      <w:r w:rsidRPr="00237203">
        <w:rPr>
          <w:rFonts w:ascii="Times New Roman" w:eastAsia="宋体" w:hAnsi="Times New Roman" w:cs="Times New Roman"/>
          <w:kern w:val="28"/>
          <w:sz w:val="24"/>
          <w:szCs w:val="24"/>
        </w:rPr>
        <w:t>6</w:t>
      </w:r>
      <w:r w:rsidRPr="00237203">
        <w:rPr>
          <w:rFonts w:ascii="Times New Roman" w:eastAsia="宋体" w:hAnsi="Times New Roman" w:cs="Times New Roman"/>
          <w:kern w:val="28"/>
          <w:sz w:val="24"/>
          <w:szCs w:val="24"/>
        </w:rPr>
        <w:t>条拟合曲线结合</w:t>
      </w:r>
      <w:r w:rsidRPr="00237203">
        <w:rPr>
          <w:rFonts w:ascii="Times New Roman" w:eastAsia="宋体" w:hAnsi="Times New Roman" w:cs="Times New Roman" w:hint="eastAsia"/>
          <w:kern w:val="28"/>
          <w:sz w:val="24"/>
          <w:szCs w:val="24"/>
        </w:rPr>
        <w:t>如下图</w:t>
      </w:r>
      <w:r w:rsidRPr="00237203">
        <w:rPr>
          <w:rFonts w:ascii="Times New Roman" w:eastAsia="宋体" w:hAnsi="Times New Roman" w:cs="Times New Roman" w:hint="eastAsia"/>
          <w:kern w:val="28"/>
          <w:sz w:val="24"/>
          <w:szCs w:val="24"/>
        </w:rPr>
        <w:t>3-3</w:t>
      </w:r>
    </w:p>
    <w:p w14:paraId="27969223" w14:textId="59809B86" w:rsidR="00237203" w:rsidRDefault="00237203" w:rsidP="00237203">
      <w:pPr>
        <w:keepNext/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21AC" w14:paraId="310175AE" w14:textId="77777777">
        <w:tc>
          <w:tcPr>
            <w:tcW w:w="10456" w:type="dxa"/>
          </w:tcPr>
          <w:p w14:paraId="35DB3CB2" w14:textId="77777777" w:rsidR="00D621AC" w:rsidRPr="00237203" w:rsidRDefault="00D621AC" w:rsidP="00D621AC">
            <w:pPr>
              <w:keepNext/>
              <w:widowControl/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kern w:val="28"/>
                <w:sz w:val="30"/>
                <w:szCs w:val="30"/>
              </w:rPr>
            </w:pPr>
            <w:r w:rsidRPr="00237203">
              <w:rPr>
                <w:rFonts w:ascii="Times New Roman" w:eastAsia="黑体" w:hAnsi="Times New Roman" w:cs="Times New Roman" w:hint="eastAsia"/>
                <w:b/>
                <w:bCs/>
                <w:noProof/>
                <w:kern w:val="28"/>
                <w:sz w:val="30"/>
                <w:szCs w:val="30"/>
              </w:rPr>
              <w:drawing>
                <wp:inline distT="0" distB="0" distL="114300" distR="114300" wp14:anchorId="3D977E81" wp14:editId="1F6A6603">
                  <wp:extent cx="3166533" cy="2760997"/>
                  <wp:effectExtent l="0" t="0" r="0" b="1270"/>
                  <wp:docPr id="4" name="图片 4" descr="Grap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Graph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9501" t="8447" r="15449" b="60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665" cy="2764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164B6" w14:textId="36B44A69" w:rsidR="00D621AC" w:rsidRDefault="00D621AC" w:rsidP="00D621AC">
            <w:pPr>
              <w:keepNext/>
              <w:widowControl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图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237203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3-3 </w:t>
            </w:r>
            <w:r w:rsidRPr="00237203">
              <w:rPr>
                <w:rFonts w:ascii="Times New Roman" w:eastAsia="宋体" w:hAnsi="Times New Roman" w:cs="Times New Roman"/>
                <w:b/>
                <w:bCs/>
                <w:szCs w:val="21"/>
              </w:rPr>
              <w:t>拟合汇总图片</w:t>
            </w:r>
          </w:p>
        </w:tc>
      </w:tr>
    </w:tbl>
    <w:p w14:paraId="61EAB78C" w14:textId="77777777" w:rsidR="00D621AC" w:rsidRPr="00237203" w:rsidRDefault="00D621AC" w:rsidP="00237203">
      <w:pPr>
        <w:keepNext/>
        <w:widowControl/>
        <w:spacing w:line="360" w:lineRule="auto"/>
        <w:jc w:val="center"/>
        <w:rPr>
          <w:rFonts w:ascii="Times New Roman" w:eastAsia="宋体" w:hAnsi="Times New Roman" w:cs="Times New Roman" w:hint="eastAsia"/>
          <w:b/>
          <w:bCs/>
          <w:szCs w:val="21"/>
        </w:rPr>
      </w:pPr>
    </w:p>
    <w:p w14:paraId="373E2C41" w14:textId="77777777" w:rsidR="00237203" w:rsidRPr="00237203" w:rsidRDefault="00237203" w:rsidP="00237203">
      <w:pPr>
        <w:rPr>
          <w:rFonts w:ascii="Times New Roman" w:eastAsia="宋体" w:hAnsi="Times New Roman" w:cs="Times New Roman"/>
          <w:b/>
          <w:bCs/>
          <w:szCs w:val="21"/>
        </w:rPr>
      </w:pPr>
    </w:p>
    <w:p w14:paraId="67349313" w14:textId="77777777" w:rsidR="00237203" w:rsidRPr="00237203" w:rsidRDefault="00237203" w:rsidP="00237203">
      <w:pPr>
        <w:jc w:val="center"/>
        <w:rPr>
          <w:rFonts w:ascii="Times New Roman" w:eastAsia="黑体" w:hAnsi="Times New Roman" w:cs="Times New Roman"/>
          <w:sz w:val="20"/>
          <w:szCs w:val="21"/>
        </w:rPr>
      </w:pPr>
      <w:r w:rsidRPr="00237203">
        <w:rPr>
          <w:rFonts w:ascii="宋体" w:eastAsia="宋体" w:hAnsi="宋体" w:cs="宋体" w:hint="eastAsia"/>
          <w:b/>
          <w:bCs/>
          <w:szCs w:val="21"/>
        </w:rPr>
        <w:t>表 3-</w:t>
      </w:r>
      <w:r w:rsidRPr="00237203">
        <w:rPr>
          <w:rFonts w:ascii="宋体" w:eastAsia="宋体" w:hAnsi="宋体" w:cs="宋体" w:hint="eastAsia"/>
          <w:b/>
          <w:bCs/>
          <w:szCs w:val="21"/>
        </w:rPr>
        <w:fldChar w:fldCharType="begin"/>
      </w:r>
      <w:r w:rsidRPr="00237203">
        <w:rPr>
          <w:rFonts w:ascii="宋体" w:eastAsia="宋体" w:hAnsi="宋体" w:cs="宋体" w:hint="eastAsia"/>
          <w:b/>
          <w:bCs/>
          <w:szCs w:val="21"/>
        </w:rPr>
        <w:instrText xml:space="preserve"> SEQ 表 \* ARABIC </w:instrText>
      </w:r>
      <w:r w:rsidRPr="00237203">
        <w:rPr>
          <w:rFonts w:ascii="宋体" w:eastAsia="宋体" w:hAnsi="宋体" w:cs="宋体" w:hint="eastAsia"/>
          <w:b/>
          <w:bCs/>
          <w:szCs w:val="21"/>
        </w:rPr>
        <w:fldChar w:fldCharType="separate"/>
      </w:r>
      <w:r w:rsidRPr="00237203">
        <w:rPr>
          <w:rFonts w:ascii="宋体" w:eastAsia="宋体" w:hAnsi="宋体" w:cs="宋体" w:hint="eastAsia"/>
          <w:b/>
          <w:bCs/>
          <w:szCs w:val="21"/>
        </w:rPr>
        <w:t>1</w:t>
      </w:r>
      <w:r w:rsidRPr="00237203">
        <w:rPr>
          <w:rFonts w:ascii="宋体" w:eastAsia="宋体" w:hAnsi="宋体" w:cs="宋体" w:hint="eastAsia"/>
          <w:b/>
          <w:bCs/>
          <w:szCs w:val="21"/>
        </w:rPr>
        <w:fldChar w:fldCharType="end"/>
      </w:r>
      <w:r w:rsidRPr="00237203">
        <w:rPr>
          <w:rFonts w:ascii="宋体" w:eastAsia="宋体" w:hAnsi="宋体" w:cs="宋体" w:hint="eastAsia"/>
          <w:b/>
          <w:bCs/>
          <w:szCs w:val="21"/>
        </w:rPr>
        <w:t xml:space="preserve"> 拟合数据</w:t>
      </w:r>
    </w:p>
    <w:tbl>
      <w:tblPr>
        <w:tblStyle w:val="11"/>
        <w:tblpPr w:leftFromText="180" w:rightFromText="180" w:vertAnchor="text" w:horzAnchor="page" w:tblpX="1410" w:tblpY="231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237203" w:rsidRPr="00237203" w14:paraId="482A58DD" w14:textId="77777777" w:rsidTr="00FE0486">
        <w:tc>
          <w:tcPr>
            <w:tcW w:w="2321" w:type="dxa"/>
            <w:tcBorders>
              <w:bottom w:val="single" w:sz="4" w:space="0" w:color="auto"/>
            </w:tcBorders>
          </w:tcPr>
          <w:p w14:paraId="66FB3B75" w14:textId="77777777" w:rsidR="00237203" w:rsidRPr="00237203" w:rsidRDefault="00237203" w:rsidP="00237203">
            <w:pPr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温度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4F24E57F" w14:textId="77777777" w:rsidR="00237203" w:rsidRPr="00237203" w:rsidRDefault="00237203" w:rsidP="00237203">
            <w:pPr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μ</w:t>
            </w:r>
            <w:r w:rsidRPr="00237203">
              <w:rPr>
                <w:sz w:val="24"/>
                <w:szCs w:val="24"/>
                <w:vertAlign w:val="subscript"/>
              </w:rPr>
              <w:t>0</w:t>
            </w:r>
            <w:r w:rsidRPr="00237203">
              <w:rPr>
                <w:sz w:val="24"/>
                <w:szCs w:val="24"/>
              </w:rPr>
              <w:t>（</w:t>
            </w:r>
            <w:r w:rsidRPr="00237203">
              <w:rPr>
                <w:sz w:val="24"/>
                <w:szCs w:val="24"/>
              </w:rPr>
              <w:t>cm</w:t>
            </w:r>
            <w:r w:rsidRPr="00237203">
              <w:rPr>
                <w:sz w:val="24"/>
                <w:szCs w:val="24"/>
                <w:vertAlign w:val="superscript"/>
              </w:rPr>
              <w:t xml:space="preserve">2 </w:t>
            </w:r>
            <w:r w:rsidRPr="00237203">
              <w:rPr>
                <w:sz w:val="24"/>
                <w:szCs w:val="24"/>
              </w:rPr>
              <w:t>v</w:t>
            </w:r>
            <w:r w:rsidRPr="00237203">
              <w:rPr>
                <w:sz w:val="24"/>
                <w:szCs w:val="24"/>
                <w:vertAlign w:val="superscript"/>
              </w:rPr>
              <w:t>-1</w:t>
            </w:r>
            <w:r w:rsidRPr="00237203">
              <w:rPr>
                <w:sz w:val="24"/>
                <w:szCs w:val="24"/>
              </w:rPr>
              <w:t>s</w:t>
            </w:r>
            <w:r w:rsidRPr="00237203">
              <w:rPr>
                <w:sz w:val="24"/>
                <w:szCs w:val="24"/>
                <w:vertAlign w:val="superscript"/>
              </w:rPr>
              <w:t>-1</w:t>
            </w:r>
            <w:r w:rsidRPr="00237203">
              <w:rPr>
                <w:sz w:val="24"/>
                <w:szCs w:val="24"/>
              </w:rPr>
              <w:t>）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55852BDA" w14:textId="77777777" w:rsidR="00237203" w:rsidRPr="00237203" w:rsidRDefault="00237203" w:rsidP="00237203">
            <w:pPr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U</w:t>
            </w:r>
            <w:r w:rsidRPr="00237203">
              <w:rPr>
                <w:sz w:val="24"/>
                <w:szCs w:val="24"/>
                <w:vertAlign w:val="subscript"/>
              </w:rPr>
              <w:t>bi</w:t>
            </w:r>
            <w:r w:rsidRPr="00237203">
              <w:rPr>
                <w:sz w:val="24"/>
                <w:szCs w:val="24"/>
              </w:rPr>
              <w:t>（</w:t>
            </w:r>
            <w:r w:rsidRPr="00237203">
              <w:rPr>
                <w:rFonts w:hint="eastAsia"/>
                <w:sz w:val="24"/>
                <w:szCs w:val="24"/>
              </w:rPr>
              <w:t>V</w:t>
            </w:r>
            <w:r w:rsidRPr="00237203">
              <w:rPr>
                <w:sz w:val="24"/>
                <w:szCs w:val="24"/>
              </w:rPr>
              <w:t>）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0F0278E" w14:textId="77777777" w:rsidR="00237203" w:rsidRPr="00237203" w:rsidRDefault="00237203" w:rsidP="00237203">
            <w:pPr>
              <w:rPr>
                <w:szCs w:val="21"/>
              </w:rPr>
            </w:pPr>
            <w:r w:rsidRPr="00237203">
              <w:rPr>
                <w:sz w:val="24"/>
                <w:szCs w:val="24"/>
              </w:rPr>
              <w:t xml:space="preserve">β </w:t>
            </w:r>
            <w:r w:rsidRPr="00237203">
              <w:rPr>
                <w:sz w:val="24"/>
                <w:szCs w:val="24"/>
              </w:rPr>
              <w:t>（</w:t>
            </w:r>
            <w:r w:rsidRPr="00237203">
              <w:rPr>
                <w:sz w:val="24"/>
                <w:szCs w:val="24"/>
              </w:rPr>
              <w:t>cm</w:t>
            </w:r>
            <w:r w:rsidRPr="00237203">
              <w:rPr>
                <w:rFonts w:hint="eastAsia"/>
                <w:sz w:val="24"/>
                <w:szCs w:val="24"/>
              </w:rPr>
              <w:t>V</w:t>
            </w:r>
            <w:r w:rsidRPr="00237203">
              <w:rPr>
                <w:sz w:val="24"/>
                <w:szCs w:val="24"/>
                <w:vertAlign w:val="superscript"/>
              </w:rPr>
              <w:t>-1</w:t>
            </w:r>
            <w:r w:rsidRPr="00237203">
              <w:rPr>
                <w:sz w:val="24"/>
                <w:szCs w:val="24"/>
              </w:rPr>
              <w:t>）</w:t>
            </w:r>
          </w:p>
        </w:tc>
      </w:tr>
      <w:tr w:rsidR="00237203" w:rsidRPr="00237203" w14:paraId="54AAFBE7" w14:textId="77777777" w:rsidTr="00FE0486">
        <w:tc>
          <w:tcPr>
            <w:tcW w:w="2321" w:type="dxa"/>
            <w:tcBorders>
              <w:top w:val="single" w:sz="4" w:space="0" w:color="auto"/>
              <w:tl2br w:val="nil"/>
              <w:tr2bl w:val="nil"/>
            </w:tcBorders>
          </w:tcPr>
          <w:p w14:paraId="1B9FEDE1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300k</w:t>
            </w:r>
          </w:p>
        </w:tc>
        <w:tc>
          <w:tcPr>
            <w:tcW w:w="2322" w:type="dxa"/>
            <w:tcBorders>
              <w:top w:val="single" w:sz="4" w:space="0" w:color="auto"/>
              <w:tl2br w:val="nil"/>
              <w:tr2bl w:val="nil"/>
            </w:tcBorders>
          </w:tcPr>
          <w:p w14:paraId="6175912D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1×10</w:t>
            </w:r>
            <w:r w:rsidRPr="00237203">
              <w:rPr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2322" w:type="dxa"/>
            <w:tcBorders>
              <w:top w:val="single" w:sz="4" w:space="0" w:color="auto"/>
              <w:tl2br w:val="nil"/>
              <w:tr2bl w:val="nil"/>
            </w:tcBorders>
          </w:tcPr>
          <w:p w14:paraId="764F4D47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0.01</w:t>
            </w:r>
          </w:p>
        </w:tc>
        <w:tc>
          <w:tcPr>
            <w:tcW w:w="2322" w:type="dxa"/>
            <w:tcBorders>
              <w:top w:val="single" w:sz="4" w:space="0" w:color="auto"/>
              <w:tl2br w:val="nil"/>
              <w:tr2bl w:val="nil"/>
            </w:tcBorders>
          </w:tcPr>
          <w:p w14:paraId="5B548624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0.00043</w:t>
            </w:r>
          </w:p>
        </w:tc>
      </w:tr>
      <w:tr w:rsidR="00237203" w:rsidRPr="00237203" w14:paraId="08343ADC" w14:textId="77777777" w:rsidTr="00FE0486">
        <w:tc>
          <w:tcPr>
            <w:tcW w:w="2321" w:type="dxa"/>
            <w:tcBorders>
              <w:tl2br w:val="nil"/>
              <w:tr2bl w:val="nil"/>
            </w:tcBorders>
          </w:tcPr>
          <w:p w14:paraId="3E8EAB2E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280k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0249CA86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0.7×10</w:t>
            </w:r>
            <w:r w:rsidRPr="00237203">
              <w:rPr>
                <w:sz w:val="24"/>
                <w:szCs w:val="24"/>
                <w:vertAlign w:val="superscript"/>
              </w:rPr>
              <w:t>−6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63EB1CBE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0.02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4DBA895B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0.0005</w:t>
            </w:r>
          </w:p>
        </w:tc>
      </w:tr>
      <w:tr w:rsidR="00237203" w:rsidRPr="00237203" w14:paraId="70E94DBA" w14:textId="77777777" w:rsidTr="00FE0486">
        <w:tc>
          <w:tcPr>
            <w:tcW w:w="2321" w:type="dxa"/>
            <w:tcBorders>
              <w:tl2br w:val="nil"/>
              <w:tr2bl w:val="nil"/>
            </w:tcBorders>
          </w:tcPr>
          <w:p w14:paraId="56C2B262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260k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064236BE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1×10</w:t>
            </w:r>
            <w:r w:rsidRPr="00237203">
              <w:rPr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353AC209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0.02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2A3290CA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0.0024</w:t>
            </w:r>
          </w:p>
        </w:tc>
      </w:tr>
      <w:tr w:rsidR="00237203" w:rsidRPr="00237203" w14:paraId="7DA145DF" w14:textId="77777777" w:rsidTr="00FE0486">
        <w:tc>
          <w:tcPr>
            <w:tcW w:w="2321" w:type="dxa"/>
            <w:tcBorders>
              <w:tl2br w:val="nil"/>
              <w:tr2bl w:val="nil"/>
            </w:tcBorders>
          </w:tcPr>
          <w:p w14:paraId="4157C930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240k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5FCE1093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0.4×10</w:t>
            </w:r>
            <w:r w:rsidRPr="00237203">
              <w:rPr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7F5EC4F2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0.02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71B6672E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0.0028</w:t>
            </w:r>
          </w:p>
        </w:tc>
      </w:tr>
      <w:tr w:rsidR="00237203" w:rsidRPr="00237203" w14:paraId="01D4EAC0" w14:textId="77777777" w:rsidTr="00FE0486">
        <w:tc>
          <w:tcPr>
            <w:tcW w:w="2321" w:type="dxa"/>
            <w:tcBorders>
              <w:tl2br w:val="nil"/>
              <w:tr2bl w:val="nil"/>
            </w:tcBorders>
          </w:tcPr>
          <w:p w14:paraId="2F026716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220k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0A398033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1×10</w:t>
            </w:r>
            <w:r w:rsidRPr="00237203">
              <w:rPr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5AF7E9C3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0.03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73CFB162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0.0038</w:t>
            </w:r>
          </w:p>
        </w:tc>
      </w:tr>
      <w:tr w:rsidR="00237203" w:rsidRPr="00237203" w14:paraId="3EA2F66F" w14:textId="77777777" w:rsidTr="00FE0486">
        <w:tc>
          <w:tcPr>
            <w:tcW w:w="2321" w:type="dxa"/>
            <w:tcBorders>
              <w:tl2br w:val="nil"/>
              <w:tr2bl w:val="nil"/>
            </w:tcBorders>
          </w:tcPr>
          <w:p w14:paraId="603E7BD3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200k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582130B5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1×10</w:t>
            </w:r>
            <w:r w:rsidRPr="00237203">
              <w:rPr>
                <w:sz w:val="24"/>
                <w:szCs w:val="24"/>
                <w:vertAlign w:val="superscript"/>
              </w:rPr>
              <w:t>-9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0C56858B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0.04</w:t>
            </w:r>
          </w:p>
        </w:tc>
        <w:tc>
          <w:tcPr>
            <w:tcW w:w="2322" w:type="dxa"/>
            <w:tcBorders>
              <w:tl2br w:val="nil"/>
              <w:tr2bl w:val="nil"/>
            </w:tcBorders>
          </w:tcPr>
          <w:p w14:paraId="6E4DEDA6" w14:textId="77777777" w:rsidR="00237203" w:rsidRPr="00237203" w:rsidRDefault="00237203" w:rsidP="00237203">
            <w:pPr>
              <w:spacing w:line="360" w:lineRule="auto"/>
              <w:jc w:val="left"/>
              <w:rPr>
                <w:szCs w:val="21"/>
              </w:rPr>
            </w:pPr>
            <w:r w:rsidRPr="00237203">
              <w:rPr>
                <w:sz w:val="24"/>
                <w:szCs w:val="24"/>
              </w:rPr>
              <w:t>0.006</w:t>
            </w:r>
          </w:p>
        </w:tc>
      </w:tr>
    </w:tbl>
    <w:p w14:paraId="0CD4E75B" w14:textId="77777777" w:rsidR="00237203" w:rsidRPr="00237203" w:rsidRDefault="00237203" w:rsidP="00237203">
      <w:pPr>
        <w:rPr>
          <w:rFonts w:ascii="Times New Roman" w:eastAsia="宋体" w:hAnsi="Times New Roman" w:cs="Times New Roman"/>
          <w:szCs w:val="21"/>
        </w:rPr>
      </w:pPr>
    </w:p>
    <w:p w14:paraId="5EBC382B" w14:textId="77777777" w:rsidR="00237203" w:rsidRPr="00237203" w:rsidRDefault="00237203" w:rsidP="00237203">
      <w:pPr>
        <w:rPr>
          <w:rFonts w:ascii="Times New Roman" w:eastAsia="宋体" w:hAnsi="Times New Roman" w:cs="Times New Roman"/>
          <w:szCs w:val="21"/>
        </w:rPr>
      </w:pPr>
    </w:p>
    <w:p w14:paraId="75C3A69B" w14:textId="77777777" w:rsidR="00237203" w:rsidRPr="00237203" w:rsidRDefault="00237203" w:rsidP="0023720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37203">
        <w:rPr>
          <w:rFonts w:ascii="Times New Roman" w:eastAsia="宋体" w:hAnsi="Times New Roman" w:cs="Times New Roman"/>
          <w:sz w:val="24"/>
          <w:szCs w:val="24"/>
        </w:rPr>
        <w:t>总结：由此表格可以分析出电流传输特性，随着温度的降低</w:t>
      </w:r>
      <w:r w:rsidRPr="00237203">
        <w:rPr>
          <w:rFonts w:ascii="Times New Roman" w:eastAsia="宋体" w:hAnsi="Times New Roman" w:cs="Times New Roman"/>
          <w:sz w:val="24"/>
          <w:szCs w:val="24"/>
        </w:rPr>
        <w:t>μ0</w:t>
      </w:r>
      <w:r w:rsidRPr="00237203">
        <w:rPr>
          <w:rFonts w:ascii="Times New Roman" w:eastAsia="宋体" w:hAnsi="Times New Roman" w:cs="Times New Roman"/>
          <w:sz w:val="24"/>
          <w:szCs w:val="24"/>
        </w:rPr>
        <w:t>会减小，如从</w:t>
      </w:r>
      <w:r w:rsidRPr="00237203">
        <w:rPr>
          <w:rFonts w:ascii="Times New Roman" w:eastAsia="宋体" w:hAnsi="Times New Roman" w:cs="Times New Roman"/>
          <w:sz w:val="24"/>
          <w:szCs w:val="24"/>
        </w:rPr>
        <w:t>300k</w:t>
      </w:r>
      <w:r w:rsidRPr="00237203">
        <w:rPr>
          <w:rFonts w:ascii="Times New Roman" w:eastAsia="宋体" w:hAnsi="Times New Roman" w:cs="Times New Roman"/>
          <w:sz w:val="24"/>
          <w:szCs w:val="24"/>
        </w:rPr>
        <w:t>的</w:t>
      </w:r>
      <w:r w:rsidRPr="00237203">
        <w:rPr>
          <w:rFonts w:ascii="Times New Roman" w:eastAsia="宋体" w:hAnsi="Times New Roman" w:cs="Times New Roman"/>
          <w:sz w:val="24"/>
          <w:szCs w:val="24"/>
        </w:rPr>
        <w:t>1×10</w:t>
      </w:r>
      <w:r w:rsidRPr="00237203">
        <w:rPr>
          <w:rFonts w:ascii="Times New Roman" w:eastAsia="宋体" w:hAnsi="Times New Roman" w:cs="Times New Roman"/>
          <w:sz w:val="24"/>
          <w:szCs w:val="24"/>
          <w:vertAlign w:val="superscript"/>
        </w:rPr>
        <w:t>-6</w:t>
      </w:r>
      <w:r w:rsidRPr="00237203">
        <w:rPr>
          <w:rFonts w:ascii="Times New Roman" w:eastAsia="宋体" w:hAnsi="Times New Roman" w:cs="Times New Roman"/>
          <w:sz w:val="24"/>
          <w:szCs w:val="24"/>
        </w:rPr>
        <w:t>到</w:t>
      </w:r>
      <w:r w:rsidRPr="00237203">
        <w:rPr>
          <w:rFonts w:ascii="Times New Roman" w:eastAsia="宋体" w:hAnsi="Times New Roman" w:cs="Times New Roman"/>
          <w:sz w:val="24"/>
          <w:szCs w:val="24"/>
        </w:rPr>
        <w:t>200k</w:t>
      </w:r>
      <w:r w:rsidRPr="00237203">
        <w:rPr>
          <w:rFonts w:ascii="Times New Roman" w:eastAsia="宋体" w:hAnsi="Times New Roman" w:cs="Times New Roman"/>
          <w:sz w:val="24"/>
          <w:szCs w:val="24"/>
        </w:rPr>
        <w:t>的</w:t>
      </w:r>
      <w:r w:rsidRPr="00237203">
        <w:rPr>
          <w:rFonts w:ascii="Times New Roman" w:eastAsia="宋体" w:hAnsi="Times New Roman" w:cs="Times New Roman"/>
          <w:sz w:val="24"/>
          <w:szCs w:val="24"/>
        </w:rPr>
        <w:t>1×10</w:t>
      </w:r>
      <w:r w:rsidRPr="00237203">
        <w:rPr>
          <w:rFonts w:ascii="Times New Roman" w:eastAsia="宋体" w:hAnsi="Times New Roman" w:cs="Times New Roman"/>
          <w:sz w:val="24"/>
          <w:szCs w:val="24"/>
          <w:vertAlign w:val="superscript"/>
        </w:rPr>
        <w:t>-9</w:t>
      </w:r>
      <w:r w:rsidRPr="00237203">
        <w:rPr>
          <w:rFonts w:ascii="Times New Roman" w:eastAsia="宋体" w:hAnsi="Times New Roman" w:cs="Times New Roman"/>
          <w:sz w:val="24"/>
          <w:szCs w:val="24"/>
        </w:rPr>
        <w:t>；</w:t>
      </w:r>
      <w:r w:rsidRPr="00237203">
        <w:rPr>
          <w:rFonts w:ascii="Times New Roman" w:eastAsia="宋体" w:hAnsi="Times New Roman" w:cs="Times New Roman"/>
          <w:sz w:val="24"/>
          <w:szCs w:val="24"/>
        </w:rPr>
        <w:t>ubi</w:t>
      </w:r>
      <w:r w:rsidRPr="00237203">
        <w:rPr>
          <w:rFonts w:ascii="Times New Roman" w:eastAsia="宋体" w:hAnsi="Times New Roman" w:cs="Times New Roman"/>
          <w:sz w:val="24"/>
          <w:szCs w:val="24"/>
        </w:rPr>
        <w:t>在所有温度下近乎为</w:t>
      </w:r>
      <w:r w:rsidRPr="00237203">
        <w:rPr>
          <w:rFonts w:ascii="Times New Roman" w:eastAsia="宋体" w:hAnsi="Times New Roman" w:cs="Times New Roman"/>
          <w:sz w:val="24"/>
          <w:szCs w:val="24"/>
        </w:rPr>
        <w:t>0</w:t>
      </w:r>
      <w:r w:rsidRPr="00237203">
        <w:rPr>
          <w:rFonts w:ascii="Times New Roman" w:eastAsia="宋体" w:hAnsi="Times New Roman" w:cs="Times New Roman"/>
          <w:sz w:val="24"/>
          <w:szCs w:val="24"/>
        </w:rPr>
        <w:t>，</w:t>
      </w:r>
      <w:r w:rsidRPr="00237203">
        <w:rPr>
          <w:rFonts w:ascii="Times New Roman" w:eastAsia="宋体" w:hAnsi="Times New Roman" w:cs="Times New Roman"/>
          <w:sz w:val="24"/>
          <w:szCs w:val="24"/>
        </w:rPr>
        <w:t>d</w:t>
      </w:r>
      <w:r w:rsidRPr="00237203">
        <w:rPr>
          <w:rFonts w:ascii="Times New Roman" w:eastAsia="宋体" w:hAnsi="Times New Roman" w:cs="Times New Roman"/>
          <w:sz w:val="24"/>
          <w:szCs w:val="24"/>
        </w:rPr>
        <w:t>在所有温度下均为</w:t>
      </w:r>
      <w:r w:rsidRPr="00237203">
        <w:rPr>
          <w:rFonts w:ascii="Times New Roman" w:eastAsia="宋体" w:hAnsi="Times New Roman" w:cs="Times New Roman"/>
          <w:sz w:val="24"/>
          <w:szCs w:val="24"/>
        </w:rPr>
        <w:t>100</w:t>
      </w:r>
      <w:r w:rsidRPr="00237203">
        <w:rPr>
          <w:rFonts w:ascii="Times New Roman" w:eastAsia="宋体" w:hAnsi="Times New Roman" w:cs="Times New Roman"/>
          <w:sz w:val="24"/>
          <w:szCs w:val="24"/>
        </w:rPr>
        <w:t>，不随温度的变化而变化。而</w:t>
      </w:r>
      <w:r w:rsidRPr="00237203">
        <w:rPr>
          <w:rFonts w:ascii="Times New Roman" w:eastAsia="宋体" w:hAnsi="Times New Roman" w:cs="Times New Roman"/>
          <w:sz w:val="24"/>
          <w:szCs w:val="24"/>
        </w:rPr>
        <w:t>β</w:t>
      </w:r>
      <w:r w:rsidRPr="00237203">
        <w:rPr>
          <w:rFonts w:ascii="Times New Roman" w:eastAsia="宋体" w:hAnsi="Times New Roman" w:cs="Times New Roman"/>
          <w:sz w:val="24"/>
          <w:szCs w:val="24"/>
        </w:rPr>
        <w:t>整体随温度降低呈增大趋势。</w:t>
      </w:r>
    </w:p>
    <w:p w14:paraId="1F471CAF" w14:textId="77777777" w:rsidR="00237203" w:rsidRDefault="00237203">
      <w:pPr>
        <w:rPr>
          <w:rFonts w:hint="eastAsia"/>
        </w:rPr>
      </w:pPr>
    </w:p>
    <w:p w14:paraId="3465BC6D" w14:textId="77777777" w:rsidR="00237203" w:rsidRDefault="00237203">
      <w:pPr>
        <w:rPr>
          <w:rFonts w:hint="eastAsia"/>
        </w:rPr>
      </w:pPr>
    </w:p>
    <w:sectPr w:rsidR="00237203" w:rsidSect="00237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A86E" w14:textId="77777777" w:rsidR="005A229A" w:rsidRDefault="005A229A" w:rsidP="00237203">
      <w:pPr>
        <w:rPr>
          <w:rFonts w:hint="eastAsia"/>
        </w:rPr>
      </w:pPr>
      <w:r>
        <w:separator/>
      </w:r>
    </w:p>
  </w:endnote>
  <w:endnote w:type="continuationSeparator" w:id="0">
    <w:p w14:paraId="35189462" w14:textId="77777777" w:rsidR="005A229A" w:rsidRDefault="005A229A" w:rsidP="002372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90CF" w14:textId="77777777" w:rsidR="00145439" w:rsidRDefault="00145439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622948"/>
      <w:docPartObj>
        <w:docPartGallery w:val="Page Numbers (Bottom of Page)"/>
        <w:docPartUnique/>
      </w:docPartObj>
    </w:sdtPr>
    <w:sdtContent>
      <w:p w14:paraId="705C2560" w14:textId="5CBE3346" w:rsidR="00145439" w:rsidRDefault="00145439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7B322F5" w14:textId="77777777" w:rsidR="00145439" w:rsidRDefault="00145439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C863" w14:textId="77777777" w:rsidR="00145439" w:rsidRDefault="00145439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E060" w14:textId="77777777" w:rsidR="005A229A" w:rsidRDefault="005A229A" w:rsidP="00237203">
      <w:pPr>
        <w:rPr>
          <w:rFonts w:hint="eastAsia"/>
        </w:rPr>
      </w:pPr>
      <w:r>
        <w:separator/>
      </w:r>
    </w:p>
  </w:footnote>
  <w:footnote w:type="continuationSeparator" w:id="0">
    <w:p w14:paraId="409F9102" w14:textId="77777777" w:rsidR="005A229A" w:rsidRDefault="005A229A" w:rsidP="002372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2D1C" w14:textId="77777777" w:rsidR="00145439" w:rsidRDefault="00145439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E016" w14:textId="77777777" w:rsidR="00145439" w:rsidRDefault="00145439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B6BD" w14:textId="77777777" w:rsidR="00145439" w:rsidRDefault="00145439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45"/>
    <w:rsid w:val="00145439"/>
    <w:rsid w:val="00237203"/>
    <w:rsid w:val="00284E55"/>
    <w:rsid w:val="004E11AF"/>
    <w:rsid w:val="00524C45"/>
    <w:rsid w:val="005A229A"/>
    <w:rsid w:val="00771369"/>
    <w:rsid w:val="0093628E"/>
    <w:rsid w:val="00AE5108"/>
    <w:rsid w:val="00AE62B3"/>
    <w:rsid w:val="00C03291"/>
    <w:rsid w:val="00D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1069E"/>
  <w15:chartTrackingRefBased/>
  <w15:docId w15:val="{8A2BA5CF-A718-4F84-927C-7E3E1CC1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4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C4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4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C4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72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72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7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7203"/>
    <w:rPr>
      <w:sz w:val="18"/>
      <w:szCs w:val="18"/>
    </w:rPr>
  </w:style>
  <w:style w:type="table" w:styleId="af2">
    <w:name w:val="Table Grid"/>
    <w:basedOn w:val="a1"/>
    <w:uiPriority w:val="39"/>
    <w:rsid w:val="0023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f2"/>
    <w:qFormat/>
    <w:rsid w:val="002372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408</Characters>
  <Application>Microsoft Office Word</Application>
  <DocSecurity>0</DocSecurity>
  <Lines>51</Lines>
  <Paragraphs>43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应全 彭</dc:creator>
  <cp:keywords/>
  <dc:description/>
  <cp:lastModifiedBy>应全 彭</cp:lastModifiedBy>
  <cp:revision>6</cp:revision>
  <dcterms:created xsi:type="dcterms:W3CDTF">2025-08-04T08:39:00Z</dcterms:created>
  <dcterms:modified xsi:type="dcterms:W3CDTF">2025-08-05T01:07:00Z</dcterms:modified>
</cp:coreProperties>
</file>